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1" w:rsidRDefault="00BB33E1" w:rsidP="00BB3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B33E1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</w:t>
      </w:r>
    </w:p>
    <w:p w:rsidR="00BB33E1" w:rsidRDefault="00BB33E1" w:rsidP="00BB3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СУКПАКСКАЯ СОШ ИМ. Б.И. АРАПТАН</w:t>
      </w:r>
    </w:p>
    <w:p w:rsidR="00BB33E1" w:rsidRPr="00BB33E1" w:rsidRDefault="00BB33E1" w:rsidP="00BB3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 УЧ.Г.</w:t>
      </w:r>
    </w:p>
    <w:bookmarkEnd w:id="0"/>
    <w:p w:rsidR="00BB33E1" w:rsidRPr="004D3788" w:rsidRDefault="00BB33E1" w:rsidP="00BB33E1">
      <w:pPr>
        <w:pStyle w:val="a6"/>
        <w:rPr>
          <w:color w:val="000000"/>
          <w:sz w:val="24"/>
          <w:szCs w:val="24"/>
        </w:rPr>
      </w:pPr>
      <w:r w:rsidRPr="004D3788">
        <w:rPr>
          <w:b/>
          <w:i/>
          <w:color w:val="000000"/>
          <w:sz w:val="24"/>
          <w:szCs w:val="24"/>
        </w:rPr>
        <w:t>Цель:</w:t>
      </w:r>
      <w:r w:rsidRPr="004D3788">
        <w:rPr>
          <w:color w:val="000000"/>
          <w:sz w:val="24"/>
          <w:szCs w:val="24"/>
        </w:rPr>
        <w:t xml:space="preserve"> анализ подбора и расстановки кадров, выявление результативности повышения квалификации, педагогического мастерства и </w:t>
      </w:r>
      <w:proofErr w:type="spellStart"/>
      <w:r w:rsidRPr="004D3788">
        <w:rPr>
          <w:color w:val="000000"/>
          <w:sz w:val="24"/>
          <w:szCs w:val="24"/>
        </w:rPr>
        <w:t>категорийности</w:t>
      </w:r>
      <w:proofErr w:type="spellEnd"/>
      <w:r w:rsidRPr="004D3788">
        <w:rPr>
          <w:color w:val="000000"/>
          <w:sz w:val="24"/>
          <w:szCs w:val="24"/>
        </w:rPr>
        <w:t xml:space="preserve"> кадров.</w:t>
      </w:r>
    </w:p>
    <w:p w:rsidR="00BB33E1" w:rsidRPr="004D3788" w:rsidRDefault="00BB33E1" w:rsidP="00BB33E1">
      <w:pPr>
        <w:pStyle w:val="a6"/>
        <w:rPr>
          <w:i/>
          <w:sz w:val="24"/>
          <w:szCs w:val="24"/>
        </w:rPr>
      </w:pPr>
      <w:r w:rsidRPr="004D3788">
        <w:rPr>
          <w:b/>
          <w:i/>
          <w:iCs/>
          <w:color w:val="000000"/>
          <w:sz w:val="24"/>
          <w:szCs w:val="24"/>
        </w:rPr>
        <w:t xml:space="preserve">а) </w:t>
      </w:r>
      <w:r w:rsidRPr="004D3788">
        <w:rPr>
          <w:b/>
          <w:i/>
          <w:sz w:val="24"/>
          <w:szCs w:val="24"/>
        </w:rPr>
        <w:t xml:space="preserve">Статистические данные о педагогических кадрах </w:t>
      </w:r>
      <w:proofErr w:type="gramStart"/>
      <w:r w:rsidRPr="004D3788">
        <w:rPr>
          <w:b/>
          <w:i/>
          <w:sz w:val="24"/>
          <w:szCs w:val="24"/>
        </w:rPr>
        <w:t>на конец</w:t>
      </w:r>
      <w:proofErr w:type="gramEnd"/>
      <w:r w:rsidRPr="004D378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2019</w:t>
      </w:r>
      <w:r w:rsidRPr="004D3788">
        <w:rPr>
          <w:b/>
          <w:i/>
          <w:sz w:val="24"/>
          <w:szCs w:val="24"/>
        </w:rPr>
        <w:t xml:space="preserve"> года</w:t>
      </w:r>
      <w:r w:rsidRPr="004D3788">
        <w:rPr>
          <w:i/>
          <w:sz w:val="24"/>
          <w:szCs w:val="24"/>
        </w:rPr>
        <w:t>.</w:t>
      </w:r>
    </w:p>
    <w:p w:rsidR="00BB33E1" w:rsidRPr="004D3788" w:rsidRDefault="00BB33E1" w:rsidP="00BB33E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788">
        <w:rPr>
          <w:rFonts w:ascii="Times New Roman" w:hAnsi="Times New Roman" w:cs="Times New Roman"/>
          <w:sz w:val="24"/>
          <w:szCs w:val="24"/>
          <w:lang w:eastAsia="ru-RU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BB33E1" w:rsidRDefault="00BB33E1" w:rsidP="00BB3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788">
        <w:rPr>
          <w:rFonts w:ascii="Times New Roman" w:hAnsi="Times New Roman" w:cs="Times New Roman"/>
          <w:sz w:val="24"/>
          <w:szCs w:val="24"/>
        </w:rPr>
        <w:t xml:space="preserve">В настоящее время в МБОУ </w:t>
      </w:r>
      <w:proofErr w:type="spellStart"/>
      <w:r w:rsidRPr="004D3788"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 w:rsidRPr="004D3788">
        <w:rPr>
          <w:rFonts w:ascii="Times New Roman" w:hAnsi="Times New Roman" w:cs="Times New Roman"/>
          <w:sz w:val="24"/>
          <w:szCs w:val="24"/>
        </w:rPr>
        <w:t xml:space="preserve"> СОШ  работает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Pr="004D3788"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D3788">
        <w:rPr>
          <w:rFonts w:ascii="Times New Roman" w:hAnsi="Times New Roman" w:cs="Times New Roman"/>
          <w:sz w:val="24"/>
          <w:szCs w:val="24"/>
        </w:rPr>
        <w:t>,</w:t>
      </w:r>
      <w:r w:rsidRPr="004D3788">
        <w:rPr>
          <w:rFonts w:ascii="Times New Roman" w:eastAsia="Times New Roman" w:hAnsi="Times New Roman" w:cs="Times New Roman"/>
          <w:sz w:val="24"/>
          <w:szCs w:val="24"/>
        </w:rPr>
        <w:t xml:space="preserve"> способных обеспечить высокий уровень обучения, создать условия для индивидуального развития учеников, и</w:t>
      </w:r>
      <w:r w:rsidRPr="004D3788">
        <w:rPr>
          <w:rFonts w:ascii="Times New Roman" w:hAnsi="Times New Roman" w:cs="Times New Roman"/>
          <w:sz w:val="24"/>
          <w:szCs w:val="24"/>
        </w:rPr>
        <w:t>з них:</w:t>
      </w:r>
      <w:r w:rsidRPr="004D3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3E1" w:rsidRDefault="00BB33E1" w:rsidP="00BB33E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4B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работников, из них: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__  </w:t>
      </w:r>
      <w:r w:rsidRPr="00EA2CE1">
        <w:rPr>
          <w:rFonts w:ascii="Times New Roman" w:hAnsi="Times New Roman" w:cs="Times New Roman"/>
          <w:sz w:val="24"/>
          <w:szCs w:val="24"/>
          <w:lang w:eastAsia="ru-RU"/>
        </w:rPr>
        <w:t>руководящие работники –  4 человек;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A2CE1">
        <w:rPr>
          <w:rFonts w:ascii="Times New Roman" w:hAnsi="Times New Roman" w:cs="Times New Roman"/>
          <w:sz w:val="24"/>
          <w:szCs w:val="24"/>
          <w:lang w:eastAsia="ru-RU"/>
        </w:rPr>
        <w:t>— учителя – предметники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74   </w:t>
      </w:r>
      <w:r w:rsidRPr="00EA2CE1">
        <w:rPr>
          <w:rFonts w:ascii="Times New Roman" w:hAnsi="Times New Roman" w:cs="Times New Roman"/>
          <w:sz w:val="24"/>
          <w:szCs w:val="24"/>
          <w:lang w:eastAsia="ru-RU"/>
        </w:rPr>
        <w:t>человек;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A2CE1">
        <w:rPr>
          <w:rFonts w:ascii="Times New Roman" w:hAnsi="Times New Roman" w:cs="Times New Roman"/>
          <w:sz w:val="24"/>
          <w:szCs w:val="24"/>
          <w:lang w:eastAsia="ru-RU"/>
        </w:rPr>
        <w:t>— другие педагогические работники: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A2CE1">
        <w:rPr>
          <w:rFonts w:ascii="Times New Roman" w:hAnsi="Times New Roman" w:cs="Times New Roman"/>
          <w:sz w:val="24"/>
          <w:szCs w:val="24"/>
          <w:lang w:eastAsia="ru-RU"/>
        </w:rPr>
        <w:t>учитель-логопед – 1 чел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A2CE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A2CE1">
        <w:rPr>
          <w:rFonts w:ascii="Times New Roman" w:hAnsi="Times New Roman" w:cs="Times New Roman"/>
          <w:sz w:val="24"/>
          <w:szCs w:val="24"/>
          <w:lang w:eastAsia="ru-RU"/>
        </w:rPr>
        <w:t>педагог-психолог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r w:rsidRPr="00EA2CE1">
        <w:rPr>
          <w:rFonts w:ascii="Times New Roman" w:hAnsi="Times New Roman" w:cs="Times New Roman"/>
          <w:sz w:val="24"/>
          <w:szCs w:val="24"/>
          <w:lang w:eastAsia="ru-RU"/>
        </w:rPr>
        <w:t>чел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A2CE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B33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A2CE1">
        <w:rPr>
          <w:rFonts w:ascii="Times New Roman" w:hAnsi="Times New Roman" w:cs="Times New Roman"/>
          <w:sz w:val="24"/>
          <w:szCs w:val="24"/>
          <w:lang w:eastAsia="ru-RU"/>
        </w:rPr>
        <w:t>соцпедагоги</w:t>
      </w:r>
      <w:proofErr w:type="spellEnd"/>
      <w:r w:rsidRPr="00EA2CE1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 чел.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A2CE1">
        <w:rPr>
          <w:rFonts w:ascii="Times New Roman" w:hAnsi="Times New Roman" w:cs="Times New Roman"/>
          <w:sz w:val="24"/>
          <w:szCs w:val="24"/>
          <w:lang w:eastAsia="ru-RU"/>
        </w:rPr>
        <w:t>педагоги дополнительного образования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12 чел.</w:t>
      </w:r>
    </w:p>
    <w:p w:rsidR="00BB33E1" w:rsidRPr="00EA2CE1" w:rsidRDefault="00BB33E1" w:rsidP="00BB33E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A2CE1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педагог-организатор -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BB33E1" w:rsidRDefault="00BB33E1" w:rsidP="00BB33E1">
      <w:pPr>
        <w:pStyle w:val="a3"/>
        <w:tabs>
          <w:tab w:val="left" w:pos="2505"/>
          <w:tab w:val="center" w:pos="4677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:rsidR="00BB33E1" w:rsidRDefault="00BB33E1" w:rsidP="00BB33E1">
      <w:pPr>
        <w:pStyle w:val="a3"/>
        <w:tabs>
          <w:tab w:val="left" w:pos="2505"/>
          <w:tab w:val="center" w:pos="4677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3E8">
        <w:rPr>
          <w:rFonts w:ascii="Times New Roman" w:hAnsi="Times New Roman" w:cs="Times New Roman"/>
          <w:b/>
          <w:i/>
          <w:sz w:val="20"/>
          <w:szCs w:val="20"/>
        </w:rPr>
        <w:t xml:space="preserve">а)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223E8">
        <w:rPr>
          <w:rFonts w:ascii="Times New Roman" w:hAnsi="Times New Roman" w:cs="Times New Roman"/>
          <w:b/>
          <w:i/>
          <w:sz w:val="24"/>
          <w:szCs w:val="24"/>
        </w:rPr>
        <w:t xml:space="preserve">озрастной состав педагогов МБОУ </w:t>
      </w:r>
      <w:proofErr w:type="spellStart"/>
      <w:r w:rsidRPr="00F223E8">
        <w:rPr>
          <w:rFonts w:ascii="Times New Roman" w:hAnsi="Times New Roman" w:cs="Times New Roman"/>
          <w:b/>
          <w:i/>
          <w:sz w:val="24"/>
          <w:szCs w:val="24"/>
        </w:rPr>
        <w:t>Сукпакской</w:t>
      </w:r>
      <w:proofErr w:type="spellEnd"/>
      <w:r w:rsidRPr="00F223E8">
        <w:rPr>
          <w:rFonts w:ascii="Times New Roman" w:hAnsi="Times New Roman" w:cs="Times New Roman"/>
          <w:b/>
          <w:i/>
          <w:sz w:val="24"/>
          <w:szCs w:val="24"/>
        </w:rPr>
        <w:t xml:space="preserve"> СОШ им. Б.И. </w:t>
      </w:r>
      <w:proofErr w:type="spellStart"/>
      <w:r w:rsidRPr="00F223E8">
        <w:rPr>
          <w:rFonts w:ascii="Times New Roman" w:hAnsi="Times New Roman" w:cs="Times New Roman"/>
          <w:b/>
          <w:i/>
          <w:sz w:val="24"/>
          <w:szCs w:val="24"/>
        </w:rPr>
        <w:t>Араптана</w:t>
      </w:r>
      <w:proofErr w:type="spellEnd"/>
    </w:p>
    <w:p w:rsidR="00BB33E1" w:rsidRDefault="00BB33E1" w:rsidP="00BB33E1">
      <w:pPr>
        <w:pStyle w:val="a3"/>
        <w:tabs>
          <w:tab w:val="left" w:pos="2505"/>
          <w:tab w:val="center" w:pos="4677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1134"/>
        <w:gridCol w:w="1134"/>
        <w:gridCol w:w="1276"/>
        <w:gridCol w:w="992"/>
        <w:gridCol w:w="1276"/>
        <w:gridCol w:w="1134"/>
      </w:tblGrid>
      <w:tr w:rsidR="00BB33E1" w:rsidRPr="004D3788" w:rsidTr="00F06B27">
        <w:tc>
          <w:tcPr>
            <w:tcW w:w="10207" w:type="dxa"/>
            <w:gridSpan w:val="9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состав</w:t>
            </w:r>
          </w:p>
        </w:tc>
      </w:tr>
      <w:tr w:rsidR="00BB33E1" w:rsidRPr="004D3788" w:rsidTr="00F06B27">
        <w:tc>
          <w:tcPr>
            <w:tcW w:w="1276" w:type="dxa"/>
            <w:vMerge w:val="restart"/>
          </w:tcPr>
          <w:p w:rsidR="00BB33E1" w:rsidRPr="00174A7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4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85" w:type="dxa"/>
            <w:gridSpan w:val="2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2268" w:type="dxa"/>
            <w:gridSpan w:val="2"/>
          </w:tcPr>
          <w:p w:rsidR="00BB33E1" w:rsidRPr="004D3788" w:rsidRDefault="00BB33E1" w:rsidP="00F06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до 40 лет</w:t>
            </w:r>
          </w:p>
        </w:tc>
        <w:tc>
          <w:tcPr>
            <w:tcW w:w="2268" w:type="dxa"/>
            <w:gridSpan w:val="2"/>
          </w:tcPr>
          <w:p w:rsidR="00BB33E1" w:rsidRPr="004D3788" w:rsidRDefault="00BB33E1" w:rsidP="00F06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до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410" w:type="dxa"/>
            <w:gridSpan w:val="2"/>
          </w:tcPr>
          <w:p w:rsidR="00BB33E1" w:rsidRPr="004D3788" w:rsidRDefault="00BB33E1" w:rsidP="00F06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B33E1" w:rsidRPr="004D3788" w:rsidTr="00F06B27">
        <w:tc>
          <w:tcPr>
            <w:tcW w:w="1276" w:type="dxa"/>
            <w:vMerge/>
          </w:tcPr>
          <w:p w:rsidR="00BB33E1" w:rsidRPr="00174A7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педагогов</w:t>
            </w:r>
          </w:p>
        </w:tc>
        <w:tc>
          <w:tcPr>
            <w:tcW w:w="992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педагогов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педагогов</w:t>
            </w:r>
          </w:p>
        </w:tc>
        <w:tc>
          <w:tcPr>
            <w:tcW w:w="992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педагогов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B33E1" w:rsidRPr="004D3788" w:rsidTr="00F06B27">
        <w:tc>
          <w:tcPr>
            <w:tcW w:w="1276" w:type="dxa"/>
            <w:vMerge/>
          </w:tcPr>
          <w:p w:rsidR="00BB33E1" w:rsidRPr="00174A7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26,5 %</w:t>
            </w:r>
          </w:p>
        </w:tc>
        <w:tc>
          <w:tcPr>
            <w:tcW w:w="1276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37 %</w:t>
            </w:r>
          </w:p>
        </w:tc>
        <w:tc>
          <w:tcPr>
            <w:tcW w:w="1276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  <w:tr w:rsidR="00BB33E1" w:rsidRPr="004D3788" w:rsidTr="00F06B27">
        <w:tc>
          <w:tcPr>
            <w:tcW w:w="1276" w:type="dxa"/>
          </w:tcPr>
          <w:p w:rsidR="00BB33E1" w:rsidRPr="00174A7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4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93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27 %</w:t>
            </w:r>
          </w:p>
        </w:tc>
        <w:tc>
          <w:tcPr>
            <w:tcW w:w="1276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23 %</w:t>
            </w:r>
          </w:p>
        </w:tc>
        <w:tc>
          <w:tcPr>
            <w:tcW w:w="1276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BB33E1" w:rsidRPr="004D3788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30 %</w:t>
            </w:r>
          </w:p>
        </w:tc>
      </w:tr>
      <w:tr w:rsidR="00BB33E1" w:rsidRPr="004D3788" w:rsidTr="00F06B27">
        <w:tc>
          <w:tcPr>
            <w:tcW w:w="1276" w:type="dxa"/>
          </w:tcPr>
          <w:p w:rsidR="00BB33E1" w:rsidRPr="00174A78" w:rsidRDefault="00BB33E1" w:rsidP="00F06B2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4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2019</w:t>
            </w:r>
          </w:p>
        </w:tc>
        <w:tc>
          <w:tcPr>
            <w:tcW w:w="993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18 ,1 %</w:t>
            </w:r>
          </w:p>
        </w:tc>
        <w:tc>
          <w:tcPr>
            <w:tcW w:w="1134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22,2 %</w:t>
            </w:r>
          </w:p>
        </w:tc>
        <w:tc>
          <w:tcPr>
            <w:tcW w:w="1276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24,2 %</w:t>
            </w:r>
          </w:p>
        </w:tc>
        <w:tc>
          <w:tcPr>
            <w:tcW w:w="1276" w:type="dxa"/>
          </w:tcPr>
          <w:p w:rsidR="00BB33E1" w:rsidRPr="00DF1AF0" w:rsidRDefault="00BB33E1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B33E1" w:rsidRDefault="00BB33E1" w:rsidP="00F06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35,3 %</w:t>
            </w:r>
          </w:p>
        </w:tc>
      </w:tr>
    </w:tbl>
    <w:p w:rsidR="00BB33E1" w:rsidRDefault="00BB33E1" w:rsidP="00BB33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возраст педагогических работников  школы  составляет 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Pr="00CD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Основную  группу сотрудников школы  составляют  педагоги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40 </w:t>
      </w:r>
      <w:r w:rsidRPr="00CD6E3F">
        <w:rPr>
          <w:rFonts w:ascii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D6E3F">
        <w:rPr>
          <w:rFonts w:ascii="Times New Roman" w:hAnsi="Times New Roman" w:cs="Times New Roman"/>
          <w:sz w:val="24"/>
          <w:szCs w:val="24"/>
          <w:lang w:eastAsia="ru-RU"/>
        </w:rPr>
        <w:t>0 лет</w:t>
      </w:r>
      <w:r w:rsidRPr="00CD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после </w:t>
      </w:r>
      <w:r w:rsidRPr="00CD6E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лет.</w:t>
      </w:r>
    </w:p>
    <w:p w:rsidR="00BB33E1" w:rsidRDefault="00BB33E1" w:rsidP="00BB33E1">
      <w:pPr>
        <w:pStyle w:val="a3"/>
        <w:tabs>
          <w:tab w:val="left" w:pos="2505"/>
          <w:tab w:val="center" w:pos="4677"/>
        </w:tabs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BB33E1" w:rsidRDefault="00BB33E1" w:rsidP="00BB33E1">
      <w:pPr>
        <w:pStyle w:val="a3"/>
        <w:tabs>
          <w:tab w:val="left" w:pos="2505"/>
          <w:tab w:val="center" w:pos="4677"/>
        </w:tabs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BB33E1" w:rsidRDefault="00BB33E1" w:rsidP="00BB33E1">
      <w:pPr>
        <w:pStyle w:val="a3"/>
        <w:tabs>
          <w:tab w:val="left" w:pos="2505"/>
          <w:tab w:val="center" w:pos="467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 wp14:anchorId="56267CFB" wp14:editId="1D958533">
            <wp:extent cx="5029200" cy="1685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33E1" w:rsidRDefault="00BB33E1" w:rsidP="00BB33E1"/>
    <w:p w:rsidR="00BB33E1" w:rsidRPr="004D3788" w:rsidRDefault="00BB33E1" w:rsidP="00BB33E1">
      <w:pPr>
        <w:ind w:firstLine="709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б) </w:t>
      </w:r>
      <w:r w:rsidRPr="004D3788">
        <w:rPr>
          <w:rFonts w:ascii="Times New Roman" w:hAnsi="Times New Roman" w:cs="Times New Roman"/>
          <w:b/>
          <w:i/>
          <w:noProof/>
          <w:sz w:val="24"/>
          <w:szCs w:val="24"/>
        </w:rPr>
        <w:t>Статистика педагогических кадров по педагогическому стажу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414"/>
        <w:gridCol w:w="1650"/>
        <w:gridCol w:w="1908"/>
        <w:gridCol w:w="1908"/>
        <w:gridCol w:w="2009"/>
      </w:tblGrid>
      <w:tr w:rsidR="00BB33E1" w:rsidRPr="00F223E8" w:rsidTr="00F06B27">
        <w:tc>
          <w:tcPr>
            <w:tcW w:w="2414" w:type="dxa"/>
          </w:tcPr>
          <w:p w:rsidR="00BB33E1" w:rsidRPr="00EA2CE1" w:rsidRDefault="00BB33E1" w:rsidP="00F06B27">
            <w:pPr>
              <w:spacing w:before="195" w:after="195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50" w:type="dxa"/>
          </w:tcPr>
          <w:p w:rsidR="00BB33E1" w:rsidRPr="00EA2CE1" w:rsidRDefault="00BB33E1" w:rsidP="00F06B27">
            <w:pPr>
              <w:spacing w:before="195" w:after="195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16"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009" w:type="dxa"/>
          </w:tcPr>
          <w:p w:rsidR="00BB33E1" w:rsidRPr="00EA2CE1" w:rsidRDefault="00BB33E1" w:rsidP="00F06B27">
            <w:pPr>
              <w:spacing w:before="195" w:after="195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BB33E1" w:rsidRPr="00F223E8" w:rsidTr="00F06B27">
        <w:tc>
          <w:tcPr>
            <w:tcW w:w="2414" w:type="dxa"/>
            <w:vMerge w:val="restart"/>
          </w:tcPr>
          <w:p w:rsidR="00BB33E1" w:rsidRPr="00EA2CE1" w:rsidRDefault="00BB33E1" w:rsidP="00F06B27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3E1" w:rsidRPr="00EA2CE1" w:rsidRDefault="00BB33E1" w:rsidP="00F06B27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650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9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B33E1" w:rsidRPr="00F223E8" w:rsidTr="00F06B27">
        <w:tc>
          <w:tcPr>
            <w:tcW w:w="2414" w:type="dxa"/>
            <w:vMerge/>
          </w:tcPr>
          <w:p w:rsidR="00BB33E1" w:rsidRPr="00EA2CE1" w:rsidRDefault="00BB33E1" w:rsidP="00F06B27">
            <w:pPr>
              <w:spacing w:before="195" w:after="195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23 %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13 %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22 %</w:t>
            </w:r>
          </w:p>
        </w:tc>
        <w:tc>
          <w:tcPr>
            <w:tcW w:w="2009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41 %</w:t>
            </w:r>
          </w:p>
        </w:tc>
      </w:tr>
      <w:tr w:rsidR="00BB33E1" w:rsidRPr="00F223E8" w:rsidTr="00F06B27">
        <w:tc>
          <w:tcPr>
            <w:tcW w:w="2414" w:type="dxa"/>
            <w:vMerge w:val="restart"/>
          </w:tcPr>
          <w:p w:rsidR="00BB33E1" w:rsidRPr="00EA2CE1" w:rsidRDefault="00BB33E1" w:rsidP="00F06B27">
            <w:pPr>
              <w:spacing w:before="195" w:after="195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650" w:type="dxa"/>
          </w:tcPr>
          <w:p w:rsidR="00BB33E1" w:rsidRPr="00776294" w:rsidRDefault="00BB33E1" w:rsidP="00F06B27">
            <w:pPr>
              <w:spacing w:before="195" w:after="195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BB33E1" w:rsidRPr="00776294" w:rsidRDefault="00BB33E1" w:rsidP="00F06B27">
            <w:pPr>
              <w:spacing w:before="195" w:after="195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8" w:type="dxa"/>
          </w:tcPr>
          <w:p w:rsidR="00BB33E1" w:rsidRPr="00776294" w:rsidRDefault="00BB33E1" w:rsidP="00F06B27">
            <w:pPr>
              <w:spacing w:before="195" w:after="195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09" w:type="dxa"/>
          </w:tcPr>
          <w:p w:rsidR="00BB33E1" w:rsidRPr="00776294" w:rsidRDefault="00BB33E1" w:rsidP="00F06B27">
            <w:pPr>
              <w:spacing w:before="195" w:after="195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B33E1" w:rsidRPr="00F223E8" w:rsidTr="00F06B27">
        <w:trPr>
          <w:trHeight w:val="361"/>
        </w:trPr>
        <w:tc>
          <w:tcPr>
            <w:tcW w:w="2414" w:type="dxa"/>
            <w:vMerge/>
          </w:tcPr>
          <w:p w:rsidR="00BB33E1" w:rsidRPr="00EA2CE1" w:rsidRDefault="00BB33E1" w:rsidP="00F06B27">
            <w:pPr>
              <w:spacing w:before="195" w:after="195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21 %</w:t>
            </w:r>
          </w:p>
        </w:tc>
        <w:tc>
          <w:tcPr>
            <w:tcW w:w="1908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33 %</w:t>
            </w:r>
          </w:p>
        </w:tc>
        <w:tc>
          <w:tcPr>
            <w:tcW w:w="2009" w:type="dxa"/>
          </w:tcPr>
          <w:p w:rsidR="00BB33E1" w:rsidRPr="00EA2C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30 %</w:t>
            </w:r>
          </w:p>
        </w:tc>
      </w:tr>
      <w:tr w:rsidR="00BB33E1" w:rsidRPr="00F223E8" w:rsidTr="00F06B27">
        <w:trPr>
          <w:trHeight w:val="361"/>
        </w:trPr>
        <w:tc>
          <w:tcPr>
            <w:tcW w:w="2414" w:type="dxa"/>
            <w:vMerge w:val="restart"/>
          </w:tcPr>
          <w:p w:rsidR="00BB33E1" w:rsidRPr="00EA2CE1" w:rsidRDefault="00BB33E1" w:rsidP="00F06B27">
            <w:pPr>
              <w:spacing w:before="195" w:after="195"/>
              <w:ind w:lef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</w:t>
            </w:r>
          </w:p>
        </w:tc>
        <w:tc>
          <w:tcPr>
            <w:tcW w:w="1650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8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8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9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B33E1" w:rsidRPr="00F223E8" w:rsidTr="00F06B27">
        <w:trPr>
          <w:trHeight w:val="70"/>
        </w:trPr>
        <w:tc>
          <w:tcPr>
            <w:tcW w:w="2414" w:type="dxa"/>
            <w:vMerge/>
          </w:tcPr>
          <w:p w:rsidR="00BB33E1" w:rsidRPr="00EA2CE1" w:rsidRDefault="00BB33E1" w:rsidP="00F06B27">
            <w:pPr>
              <w:spacing w:before="195" w:after="195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12,1 %</w:t>
            </w:r>
          </w:p>
        </w:tc>
        <w:tc>
          <w:tcPr>
            <w:tcW w:w="1908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25,2 %</w:t>
            </w:r>
          </w:p>
        </w:tc>
        <w:tc>
          <w:tcPr>
            <w:tcW w:w="1908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27,2 %</w:t>
            </w:r>
          </w:p>
        </w:tc>
        <w:tc>
          <w:tcPr>
            <w:tcW w:w="2009" w:type="dxa"/>
          </w:tcPr>
          <w:p w:rsidR="00BB33E1" w:rsidRDefault="00BB33E1" w:rsidP="00F06B27">
            <w:pPr>
              <w:spacing w:before="195" w:after="195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35,3 %</w:t>
            </w:r>
          </w:p>
        </w:tc>
      </w:tr>
    </w:tbl>
    <w:p w:rsidR="00BB33E1" w:rsidRDefault="00BB33E1" w:rsidP="00BB33E1">
      <w:pPr>
        <w:pStyle w:val="a5"/>
        <w:ind w:left="1080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B33E1" w:rsidRDefault="00BB33E1" w:rsidP="00BB33E1">
      <w:pPr>
        <w:pStyle w:val="a5"/>
        <w:ind w:left="1080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B33E1" w:rsidRDefault="00BB33E1" w:rsidP="00BB33E1">
      <w:pPr>
        <w:pStyle w:val="a5"/>
        <w:ind w:left="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176E83C4" wp14:editId="05C1B91E">
            <wp:extent cx="5181600" cy="16668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33E1" w:rsidRPr="002A64AD" w:rsidRDefault="00BB33E1" w:rsidP="00BB33E1">
      <w:pPr>
        <w:pStyle w:val="a5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AD">
        <w:rPr>
          <w:rFonts w:ascii="Times New Roman" w:hAnsi="Times New Roman" w:cs="Times New Roman"/>
          <w:sz w:val="24"/>
          <w:szCs w:val="24"/>
          <w:lang w:eastAsia="ru-RU"/>
        </w:rPr>
        <w:t>Самое молодое по стажу ШМО – методические объединения учителей начальных классов (8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учителей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лет стажа) и учителей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соцпедагогов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психологов, педагогов ВУД, 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>организаторов,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AD">
        <w:rPr>
          <w:rFonts w:ascii="Times New Roman" w:hAnsi="Times New Roman" w:cs="Times New Roman"/>
        </w:rPr>
        <w:t>патриот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(8 учител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лет стажа). </w:t>
      </w:r>
      <w:proofErr w:type="gramStart"/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Учителей – </w:t>
      </w:r>
      <w:proofErr w:type="spellStart"/>
      <w:r w:rsidRPr="002A64AD">
        <w:rPr>
          <w:rFonts w:ascii="Times New Roman" w:hAnsi="Times New Roman" w:cs="Times New Roman"/>
          <w:sz w:val="24"/>
          <w:szCs w:val="24"/>
          <w:lang w:eastAsia="ru-RU"/>
        </w:rPr>
        <w:t>стажистов</w:t>
      </w:r>
      <w:proofErr w:type="spellEnd"/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более всего наблюдается в методических объединениях учителей начальных классов (1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от 10 лет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 стажа),  учителей русского языка и литературы (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от 10 лет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 стажа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>математ</w:t>
      </w:r>
      <w:r>
        <w:rPr>
          <w:rFonts w:ascii="Times New Roman" w:hAnsi="Times New Roman" w:cs="Times New Roman"/>
          <w:sz w:val="24"/>
          <w:szCs w:val="24"/>
          <w:lang w:eastAsia="ru-RU"/>
        </w:rPr>
        <w:t>ики, информатики и математики (7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от 10 лет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 стажа)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    МО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соцпедагогов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психологов, педагогов ВУДЩ, 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>организаторов,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AD">
        <w:rPr>
          <w:rFonts w:ascii="Times New Roman" w:hAnsi="Times New Roman" w:cs="Times New Roman"/>
        </w:rPr>
        <w:t>патриот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2A64AD">
        <w:rPr>
          <w:rFonts w:ascii="Times New Roman" w:hAnsi="Times New Roman" w:cs="Times New Roman"/>
          <w:sz w:val="24"/>
          <w:szCs w:val="24"/>
          <w:lang w:eastAsia="ru-RU"/>
        </w:rPr>
        <w:t xml:space="preserve"> лет стажа).</w:t>
      </w:r>
      <w:proofErr w:type="gramEnd"/>
    </w:p>
    <w:p w:rsidR="00BB33E1" w:rsidRPr="002A64AD" w:rsidRDefault="00BB33E1" w:rsidP="00BB33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64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в) </w:t>
      </w:r>
      <w:r w:rsidRPr="002A64AD">
        <w:rPr>
          <w:rFonts w:ascii="Times New Roman" w:hAnsi="Times New Roman" w:cs="Times New Roman"/>
          <w:b/>
          <w:i/>
          <w:noProof/>
          <w:sz w:val="24"/>
          <w:szCs w:val="24"/>
        </w:rPr>
        <w:t>Статистика педагогических кадров</w:t>
      </w:r>
      <w:r w:rsidRPr="002A64A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A64AD">
        <w:rPr>
          <w:rFonts w:ascii="Times New Roman" w:hAnsi="Times New Roman" w:cs="Times New Roman"/>
          <w:b/>
          <w:i/>
          <w:sz w:val="24"/>
          <w:szCs w:val="24"/>
        </w:rPr>
        <w:t xml:space="preserve">по уровню образования: </w:t>
      </w:r>
    </w:p>
    <w:p w:rsidR="00BB33E1" w:rsidRPr="002A64AD" w:rsidRDefault="00BB33E1" w:rsidP="00BB33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jc w:val="center"/>
        <w:tblInd w:w="-1844" w:type="dxa"/>
        <w:tblLook w:val="04A0" w:firstRow="1" w:lastRow="0" w:firstColumn="1" w:lastColumn="0" w:noHBand="0" w:noVBand="1"/>
      </w:tblPr>
      <w:tblGrid>
        <w:gridCol w:w="2340"/>
        <w:gridCol w:w="1358"/>
        <w:gridCol w:w="1017"/>
        <w:gridCol w:w="1418"/>
        <w:gridCol w:w="1418"/>
        <w:gridCol w:w="1470"/>
        <w:gridCol w:w="1417"/>
      </w:tblGrid>
      <w:tr w:rsidR="00BB33E1" w:rsidRPr="00F223E8" w:rsidTr="00F06B27">
        <w:trPr>
          <w:jc w:val="center"/>
        </w:trPr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2375" w:type="dxa"/>
            <w:gridSpan w:val="2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 xml:space="preserve">2017-2018  </w:t>
            </w:r>
            <w:proofErr w:type="spellStart"/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6" w:type="dxa"/>
            <w:gridSpan w:val="2"/>
            <w:shd w:val="clear" w:color="auto" w:fill="FFFFFF" w:themeFill="background1"/>
          </w:tcPr>
          <w:p w:rsidR="00BB33E1" w:rsidRPr="00836523" w:rsidRDefault="00BB33E1" w:rsidP="00F06B2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87" w:type="dxa"/>
            <w:gridSpan w:val="2"/>
            <w:shd w:val="clear" w:color="auto" w:fill="FFFFFF" w:themeFill="background1"/>
          </w:tcPr>
          <w:p w:rsidR="00BB33E1" w:rsidRPr="00836523" w:rsidRDefault="00BB33E1" w:rsidP="00F06B2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BB33E1" w:rsidRPr="00F223E8" w:rsidTr="00F06B27">
        <w:trPr>
          <w:jc w:val="center"/>
        </w:trPr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67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67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33E1" w:rsidRPr="00836523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33E1" w:rsidRPr="00F223E8" w:rsidTr="00F06B27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35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67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  <w:tc>
          <w:tcPr>
            <w:tcW w:w="147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</w:tr>
      <w:tr w:rsidR="00BB33E1" w:rsidRPr="00F223E8" w:rsidTr="00F06B27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Высшее непедагогическое</w:t>
            </w:r>
          </w:p>
        </w:tc>
        <w:tc>
          <w:tcPr>
            <w:tcW w:w="135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2, 1 %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67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70" w:type="dxa"/>
            <w:shd w:val="clear" w:color="auto" w:fill="FFFFFF" w:themeFill="background1"/>
          </w:tcPr>
          <w:p w:rsidR="00BB33E1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BB33E1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BB33E1" w:rsidRPr="00F223E8" w:rsidTr="00F06B27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  <w:r w:rsidRPr="00FB4F2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135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8,5 %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67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147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BB33E1" w:rsidRPr="00F223E8" w:rsidTr="00F06B27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  <w:r w:rsidRPr="00FB4F27">
              <w:rPr>
                <w:rFonts w:ascii="Times New Roman" w:hAnsi="Times New Roman" w:cs="Times New Roman"/>
                <w:sz w:val="24"/>
                <w:szCs w:val="24"/>
              </w:rPr>
              <w:t xml:space="preserve"> непедагогическое</w:t>
            </w:r>
          </w:p>
        </w:tc>
        <w:tc>
          <w:tcPr>
            <w:tcW w:w="135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1,06 %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67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27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470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BB33E1" w:rsidRPr="00FB4F27" w:rsidRDefault="00BB33E1" w:rsidP="00F06B27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</w:tbl>
    <w:p w:rsidR="00BB33E1" w:rsidRDefault="00BB33E1" w:rsidP="00BB33E1">
      <w:pPr>
        <w:pStyle w:val="a5"/>
        <w:ind w:left="0" w:firstLine="284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B33E1" w:rsidRDefault="00BB33E1" w:rsidP="00BB33E1">
      <w:r>
        <w:rPr>
          <w:noProof/>
          <w:lang w:eastAsia="ru-RU"/>
        </w:rPr>
        <w:drawing>
          <wp:inline distT="0" distB="0" distL="0" distR="0" wp14:anchorId="57DF9E40" wp14:editId="38C6E2B4">
            <wp:extent cx="6010275" cy="15049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33E1" w:rsidRDefault="00BB33E1" w:rsidP="00BB33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35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г) </w:t>
      </w:r>
      <w:r w:rsidRPr="002135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Статистика </w:t>
      </w:r>
      <w:r w:rsidRPr="002135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педагогов </w:t>
      </w:r>
      <w:r w:rsidRPr="002135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по </w:t>
      </w:r>
      <w:r w:rsidRPr="002135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квалификационным  категориям</w:t>
      </w:r>
    </w:p>
    <w:p w:rsidR="00BB33E1" w:rsidRPr="00C85F78" w:rsidRDefault="00BB33E1" w:rsidP="00BB33E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5F78">
        <w:rPr>
          <w:rFonts w:ascii="Times New Roman" w:hAnsi="Times New Roman"/>
          <w:sz w:val="24"/>
          <w:szCs w:val="24"/>
        </w:rPr>
        <w:t>Аттестация педагогических кадров играет важную роль в управ</w:t>
      </w:r>
      <w:r>
        <w:rPr>
          <w:rFonts w:ascii="Times New Roman" w:hAnsi="Times New Roman"/>
          <w:sz w:val="24"/>
          <w:szCs w:val="24"/>
        </w:rPr>
        <w:t>лении образовательным процессом, т</w:t>
      </w:r>
      <w:r w:rsidRPr="00C85F78">
        <w:rPr>
          <w:rFonts w:ascii="Times New Roman" w:hAnsi="Times New Roman"/>
          <w:sz w:val="24"/>
          <w:szCs w:val="24"/>
        </w:rPr>
        <w:t xml:space="preserve">ак как это комплексная оценка уровня квалификации, педагогического профессионализма и продуктивности деятельности работников школы. </w:t>
      </w:r>
    </w:p>
    <w:p w:rsidR="00BB33E1" w:rsidRPr="00C85F78" w:rsidRDefault="00BB33E1" w:rsidP="00BB33E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85F78">
        <w:rPr>
          <w:rFonts w:ascii="Times New Roman" w:hAnsi="Times New Roman"/>
          <w:sz w:val="24"/>
          <w:szCs w:val="24"/>
        </w:rPr>
        <w:t xml:space="preserve">В школе были созданы необходимые условия для проведения аттестации, определены сроки прохождения аттестации для каждого аттестуемого, проведены консультации. </w:t>
      </w:r>
    </w:p>
    <w:p w:rsidR="00BB33E1" w:rsidRPr="002135CF" w:rsidRDefault="00BB33E1" w:rsidP="00BB33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1071"/>
        <w:gridCol w:w="744"/>
        <w:gridCol w:w="749"/>
        <w:gridCol w:w="708"/>
        <w:gridCol w:w="900"/>
        <w:gridCol w:w="942"/>
      </w:tblGrid>
      <w:tr w:rsidR="00BB33E1" w:rsidRPr="009123C7" w:rsidTr="00F06B27">
        <w:trPr>
          <w:trHeight w:val="40"/>
        </w:trPr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7705C5" w:rsidRDefault="00BB33E1" w:rsidP="00F06B27">
            <w:pPr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</w:tcPr>
          <w:p w:rsidR="00BB33E1" w:rsidRPr="00EB1EC3" w:rsidRDefault="00BB33E1" w:rsidP="00F06B27">
            <w:pPr>
              <w:spacing w:after="0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57" w:type="dxa"/>
            <w:gridSpan w:val="2"/>
          </w:tcPr>
          <w:p w:rsidR="00BB33E1" w:rsidRPr="00EB1EC3" w:rsidRDefault="00BB33E1" w:rsidP="00F06B27">
            <w:pPr>
              <w:spacing w:after="0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42" w:type="dxa"/>
            <w:gridSpan w:val="2"/>
          </w:tcPr>
          <w:p w:rsidR="00BB33E1" w:rsidRPr="00EB1EC3" w:rsidRDefault="00BB33E1" w:rsidP="00F06B27">
            <w:pPr>
              <w:spacing w:after="0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2019</w:t>
            </w:r>
          </w:p>
        </w:tc>
      </w:tr>
      <w:tr w:rsidR="00BB33E1" w:rsidRPr="009123C7" w:rsidTr="00F06B27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3E1" w:rsidRPr="009123C7" w:rsidRDefault="00BB33E1" w:rsidP="00F06B27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28 %</w:t>
            </w:r>
          </w:p>
        </w:tc>
        <w:tc>
          <w:tcPr>
            <w:tcW w:w="749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29 %</w:t>
            </w:r>
          </w:p>
        </w:tc>
        <w:tc>
          <w:tcPr>
            <w:tcW w:w="900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2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32 %</w:t>
            </w:r>
          </w:p>
        </w:tc>
      </w:tr>
      <w:tr w:rsidR="00BB33E1" w:rsidRPr="009123C7" w:rsidTr="00F06B27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3E1" w:rsidRPr="009123C7" w:rsidRDefault="00BB33E1" w:rsidP="00F06B27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36 %</w:t>
            </w:r>
          </w:p>
        </w:tc>
        <w:tc>
          <w:tcPr>
            <w:tcW w:w="749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24 %</w:t>
            </w:r>
          </w:p>
        </w:tc>
        <w:tc>
          <w:tcPr>
            <w:tcW w:w="900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24 %</w:t>
            </w:r>
          </w:p>
        </w:tc>
      </w:tr>
      <w:tr w:rsidR="00BB33E1" w:rsidRPr="009123C7" w:rsidTr="00F06B27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3E1" w:rsidRPr="009123C7" w:rsidRDefault="00BB33E1" w:rsidP="00F06B27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соответствие занимаемой должности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749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23 %</w:t>
            </w:r>
          </w:p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2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17 %</w:t>
            </w:r>
          </w:p>
        </w:tc>
      </w:tr>
      <w:tr w:rsidR="00BB33E1" w:rsidRPr="009123C7" w:rsidTr="00F06B27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3E1" w:rsidRPr="009123C7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749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24 %</w:t>
            </w:r>
          </w:p>
        </w:tc>
        <w:tc>
          <w:tcPr>
            <w:tcW w:w="900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2" w:type="dxa"/>
          </w:tcPr>
          <w:p w:rsidR="00BB33E1" w:rsidRDefault="00BB33E1" w:rsidP="00F06B27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26 %</w:t>
            </w:r>
          </w:p>
        </w:tc>
      </w:tr>
    </w:tbl>
    <w:p w:rsidR="00BB33E1" w:rsidRDefault="00BB33E1" w:rsidP="00BB33E1">
      <w:pPr>
        <w:pStyle w:val="a5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FDA" w:rsidRDefault="00BB33E1"/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8F2"/>
    <w:multiLevelType w:val="multilevel"/>
    <w:tmpl w:val="4E5C8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99"/>
    <w:rsid w:val="002A500D"/>
    <w:rsid w:val="004C4599"/>
    <w:rsid w:val="00B51F2B"/>
    <w:rsid w:val="00B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3E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B33E1"/>
  </w:style>
  <w:style w:type="paragraph" w:styleId="a5">
    <w:name w:val="List Paragraph"/>
    <w:basedOn w:val="a"/>
    <w:uiPriority w:val="34"/>
    <w:qFormat/>
    <w:rsid w:val="00BB33E1"/>
    <w:pPr>
      <w:ind w:left="720"/>
      <w:contextualSpacing/>
    </w:pPr>
  </w:style>
  <w:style w:type="paragraph" w:styleId="a6">
    <w:name w:val="Normal (Web)"/>
    <w:basedOn w:val="a"/>
    <w:unhideWhenUsed/>
    <w:rsid w:val="00BB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BB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B33E1"/>
    <w:pPr>
      <w:ind w:left="720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3E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B33E1"/>
  </w:style>
  <w:style w:type="paragraph" w:styleId="a5">
    <w:name w:val="List Paragraph"/>
    <w:basedOn w:val="a"/>
    <w:uiPriority w:val="34"/>
    <w:qFormat/>
    <w:rsid w:val="00BB33E1"/>
    <w:pPr>
      <w:ind w:left="720"/>
      <w:contextualSpacing/>
    </w:pPr>
  </w:style>
  <w:style w:type="paragraph" w:styleId="a6">
    <w:name w:val="Normal (Web)"/>
    <w:basedOn w:val="a"/>
    <w:unhideWhenUsed/>
    <w:rsid w:val="00BB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BB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B33E1"/>
    <w:pPr>
      <w:ind w:left="720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30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</c:v>
                </c:pt>
                <c:pt idx="1">
                  <c:v>0.2</c:v>
                </c:pt>
                <c:pt idx="2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40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 formatCode="0.00%">
                  <c:v>0.26500000000000001</c:v>
                </c:pt>
                <c:pt idx="1">
                  <c:v>0.27</c:v>
                </c:pt>
                <c:pt idx="2" formatCode="0.00%">
                  <c:v>0.222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50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0.37</c:v>
                </c:pt>
                <c:pt idx="1">
                  <c:v>0.23</c:v>
                </c:pt>
                <c:pt idx="2" formatCode="0.00%">
                  <c:v>0.24199999999999999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50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0.18</c:v>
                </c:pt>
                <c:pt idx="1">
                  <c:v>0.3</c:v>
                </c:pt>
                <c:pt idx="2" formatCode="0.00%">
                  <c:v>0.35299999999999998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559680"/>
        <c:axId val="141561216"/>
      </c:barChart>
      <c:catAx>
        <c:axId val="14155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561216"/>
        <c:crosses val="autoZero"/>
        <c:auto val="1"/>
        <c:lblAlgn val="ctr"/>
        <c:lblOffset val="100"/>
        <c:noMultiLvlLbl val="0"/>
      </c:catAx>
      <c:valAx>
        <c:axId val="1415612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559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3х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0.16</c:v>
                </c:pt>
                <c:pt idx="2" formatCode="0.00%">
                  <c:v>0.121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3 - 10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0.13</c:v>
                </c:pt>
                <c:pt idx="1">
                  <c:v>0.21</c:v>
                </c:pt>
                <c:pt idx="2" formatCode="0.00%">
                  <c:v>0.252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25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0.22</c:v>
                </c:pt>
                <c:pt idx="1">
                  <c:v>0.33</c:v>
                </c:pt>
                <c:pt idx="2" formatCode="0.00%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25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0.41</c:v>
                </c:pt>
                <c:pt idx="1">
                  <c:v>0.3</c:v>
                </c:pt>
                <c:pt idx="2" formatCode="0.00%">
                  <c:v>0.35299999999999998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1576064"/>
        <c:axId val="141577600"/>
        <c:axId val="0"/>
      </c:bar3DChart>
      <c:catAx>
        <c:axId val="14157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577600"/>
        <c:crosses val="autoZero"/>
        <c:auto val="1"/>
        <c:lblAlgn val="ctr"/>
        <c:lblOffset val="100"/>
        <c:noMultiLvlLbl val="0"/>
      </c:catAx>
      <c:valAx>
        <c:axId val="141577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576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пед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</c:v>
                </c:pt>
                <c:pt idx="1">
                  <c:v>0.88</c:v>
                </c:pt>
                <c:pt idx="2">
                  <c:v>0.83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высшее непед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0.02</c:v>
                </c:pt>
                <c:pt idx="1">
                  <c:v>0.03</c:v>
                </c:pt>
                <c:pt idx="2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ср\спец.пед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0.08</c:v>
                </c:pt>
                <c:pt idx="1">
                  <c:v>0.08</c:v>
                </c:pt>
                <c:pt idx="2">
                  <c:v>7.0000000000000007E-2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ср\спец непед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0">
                  <c:v>0.01</c:v>
                </c:pt>
                <c:pt idx="1">
                  <c:v>0.01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596160"/>
        <c:axId val="141597696"/>
      </c:barChart>
      <c:catAx>
        <c:axId val="141596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597696"/>
        <c:crosses val="autoZero"/>
        <c:auto val="1"/>
        <c:lblAlgn val="ctr"/>
        <c:lblOffset val="100"/>
        <c:noMultiLvlLbl val="0"/>
      </c:catAx>
      <c:valAx>
        <c:axId val="141597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596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2020-05-31T13:47:00Z</dcterms:created>
  <dcterms:modified xsi:type="dcterms:W3CDTF">2020-05-31T13:48:00Z</dcterms:modified>
</cp:coreProperties>
</file>