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A8" w:rsidRPr="00B022C5" w:rsidRDefault="00561EA8" w:rsidP="00561E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61EA8" w:rsidRPr="00B022C5" w:rsidRDefault="00561EA8" w:rsidP="00561E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EA8" w:rsidRPr="00B022C5" w:rsidRDefault="00561EA8" w:rsidP="00561EA8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>абоч</w:t>
      </w:r>
      <w:r>
        <w:rPr>
          <w:rFonts w:ascii="Times New Roman" w:hAnsi="Times New Roman" w:cs="Times New Roman"/>
          <w:kern w:val="2"/>
          <w:sz w:val="24"/>
          <w:szCs w:val="24"/>
        </w:rPr>
        <w:t>ая программа по биологии для 11Б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классов составлена  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в соответствии с правовыми и нормативными документами: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561EA8" w:rsidRPr="00B022C5" w:rsidRDefault="00561EA8" w:rsidP="00561EA8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561EA8" w:rsidRPr="00B022C5" w:rsidRDefault="00561EA8" w:rsidP="00561EA8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политики в сфере общего образования Министерства просвещения Российской Федерации от 26.02.2021 №03-2056 </w:t>
      </w:r>
      <w:r w:rsidRPr="00B022C5">
        <w:rPr>
          <w:rFonts w:ascii="Times New Roman" w:hAnsi="Times New Roman" w:cs="Times New Roman"/>
          <w:sz w:val="24"/>
          <w:szCs w:val="24"/>
        </w:rPr>
        <w:lastRenderedPageBreak/>
        <w:t>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561EA8" w:rsidRPr="00B022C5" w:rsidRDefault="00561EA8" w:rsidP="00561E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561EA8" w:rsidRPr="00B022C5" w:rsidRDefault="00561EA8" w:rsidP="00561E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561EA8" w:rsidRPr="00B022C5" w:rsidRDefault="00561EA8" w:rsidP="00561E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561EA8" w:rsidRDefault="00561EA8" w:rsidP="00561EA8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«Сукпакская средняя общеобразовательная школа им.Б.И.Араптана»</w:t>
      </w:r>
    </w:p>
    <w:bookmarkEnd w:id="0"/>
    <w:p w:rsidR="00561EA8" w:rsidRDefault="00561EA8" w:rsidP="00561EA8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1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«Сукпакская средняя общеобразовательная школа» им.Б.И.Араптана.</w:t>
      </w:r>
    </w:p>
    <w:bookmarkEnd w:id="1"/>
    <w:p w:rsidR="00561EA8" w:rsidRPr="00B022C5" w:rsidRDefault="00561EA8" w:rsidP="00561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стандарта, Примерной программы основного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общего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по биологии и Программы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среднего (полного)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по биологии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EA770A"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10-11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класса  </w:t>
      </w:r>
      <w:r w:rsidRPr="00EA770A">
        <w:rPr>
          <w:rFonts w:ascii="Times New Roman" w:eastAsia="Times New Roman" w:hAnsi="Times New Roman" w:cs="Times New Roman"/>
          <w:b/>
          <w:sz w:val="24"/>
          <w:szCs w:val="24"/>
        </w:rPr>
        <w:t>Биология. Обща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 биология.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 xml:space="preserve"> М.: «Просвещение» 2020г.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sz w:val="24"/>
          <w:szCs w:val="24"/>
        </w:rPr>
        <w:t>Авторы:</w:t>
      </w:r>
      <w:r w:rsidRPr="00EA7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A770A">
        <w:rPr>
          <w:rFonts w:ascii="Times New Roman" w:eastAsia="Times New Roman" w:hAnsi="Times New Roman" w:cs="Times New Roman"/>
          <w:sz w:val="24"/>
          <w:szCs w:val="24"/>
        </w:rPr>
        <w:t>П.М. Бородин, Л.В. Высоцкая, Г.М. Дымшиц и др.</w:t>
      </w:r>
    </w:p>
    <w:p w:rsidR="00561EA8" w:rsidRPr="00EA770A" w:rsidRDefault="00561EA8" w:rsidP="00561EA8">
      <w:pPr>
        <w:widowControl w:val="0"/>
        <w:suppressAutoHyphens/>
        <w:spacing w:after="0"/>
        <w:ind w:right="71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полностью отражающей содержание Примерной программы с дополнениями, не превышающими требования к уровню подготовки обучающихся.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lang w:eastAsia="en-US"/>
        </w:rPr>
        <w:t>Рабоч</w:t>
      </w:r>
      <w:r>
        <w:rPr>
          <w:rFonts w:ascii="Times New Roman" w:eastAsiaTheme="minorHAnsi" w:hAnsi="Times New Roman" w:cs="Times New Roman"/>
          <w:sz w:val="24"/>
          <w:lang w:eastAsia="en-US"/>
        </w:rPr>
        <w:t>ая программа рассчитана на __34__ часа (_1__ час</w:t>
      </w:r>
      <w:r w:rsidRPr="00EA770A">
        <w:rPr>
          <w:rFonts w:ascii="Times New Roman" w:eastAsiaTheme="minorHAnsi" w:hAnsi="Times New Roman" w:cs="Times New Roman"/>
          <w:sz w:val="24"/>
          <w:lang w:eastAsia="en-US"/>
        </w:rPr>
        <w:t xml:space="preserve"> в неделю), что соответствует Учебному плану  МБОУ «Сукпакская средняя общеобразовательная  школа»   им. Б. И. Араптана. </w:t>
      </w:r>
    </w:p>
    <w:p w:rsidR="00561EA8" w:rsidRPr="00EA770A" w:rsidRDefault="00561EA8" w:rsidP="00561EA8">
      <w:pPr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Для приобретения практических навыков и повышения уровня знаний программой предусматривается выполнение ряда лабораторных и практических работ.</w:t>
      </w:r>
    </w:p>
    <w:p w:rsidR="00561EA8" w:rsidRPr="00EA770A" w:rsidRDefault="00561EA8" w:rsidP="00561EA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61EA8" w:rsidRPr="00EA770A" w:rsidRDefault="00561EA8" w:rsidP="00561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Учебно-методический комплекс: 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Биология.11 класс: учеб. для общеобразоват. организаций: углуб.уровень/;под.ред. В.К. Шумного и Г.М. Дымшица.-М.: Просвещение, 2020. 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Т.А. Козлова «Тематическое и поурочное планирование по биологии 10 – 11 класс к учебнику А.А. Каменский, Е.А. Криксунов, В.В. Пасечник «Биология. Общая биология 10 – 11 класс» Изд. Экзамен, 2018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«ЕГЭ учебно – справочные материалы» Изд-во Просвещение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«Готовимся к ЕГЭ тесты 11 класс»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«Полный курс ЕГЭ. Биология»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А.А. Кириленко, С.И. Колесников «Подготовка к ЕГЭ. Биология. 10-11 класс»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А.Ю. Ионцева, А.В. Торгалов «Биология в схемах и таблицах»</w:t>
      </w:r>
    </w:p>
    <w:p w:rsidR="00561EA8" w:rsidRPr="00EA770A" w:rsidRDefault="00561EA8" w:rsidP="00561EA8">
      <w:pPr>
        <w:widowControl w:val="0"/>
        <w:numPr>
          <w:ilvl w:val="0"/>
          <w:numId w:val="1"/>
        </w:numPr>
        <w:suppressAutoHyphens/>
        <w:spacing w:after="0" w:line="240" w:lineRule="auto"/>
        <w:ind w:left="499" w:hanging="35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«ЕГЭ: шаг за шагом 9 – 11 класс» </w:t>
      </w:r>
    </w:p>
    <w:p w:rsidR="00561EA8" w:rsidRPr="00EA770A" w:rsidRDefault="00561EA8" w:rsidP="00561EA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561EA8" w:rsidRPr="00EA770A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A770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область: естественно-научные предметы. Срок реализации -1 год.</w:t>
      </w:r>
    </w:p>
    <w:p w:rsidR="00561EA8" w:rsidRPr="00EA770A" w:rsidRDefault="00561EA8" w:rsidP="00561EA8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</w:p>
    <w:p w:rsidR="00561EA8" w:rsidRPr="00EA770A" w:rsidRDefault="00561EA8" w:rsidP="00561EA8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</w:p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Pr="00EA770A" w:rsidRDefault="00561EA8" w:rsidP="00561EA8">
      <w:pPr>
        <w:widowControl w:val="0"/>
        <w:suppressAutoHyphens/>
        <w:jc w:val="center"/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8"/>
          <w:szCs w:val="24"/>
          <w:lang w:eastAsia="ar-SA"/>
        </w:rPr>
        <w:lastRenderedPageBreak/>
        <w:t>СОДЕРЖАНИЕ УЧЕБНОГО ПРЕДМЕТА «БИОЛОГИЯ»</w:t>
      </w:r>
    </w:p>
    <w:p w:rsidR="00561EA8" w:rsidRPr="00EA770A" w:rsidRDefault="00561EA8" w:rsidP="00561EA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>Эволюционное учение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left="5" w:right="34" w:firstLine="422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>Сущность эволюционных преобразований.Эволюционные представления в додарвиновский период. Доказательства эволюции органического мира. Дарвинизм.Синтетическая теория эволюции.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left="5" w:right="34" w:firstLine="422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>Объект изучения биологии – биологические системы. Понятие о системе. Общие признаки биологических систем. Уровни организации живого: молекулярно-генетический, органоидно-клеточный, организменный, популяционно-видовой, биогеоценотический (экосистемный), биосферный. Методы познания живой природы.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 xml:space="preserve">Возникновение и развитие жизни на Земле 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w w:val="123"/>
          <w:sz w:val="24"/>
          <w:szCs w:val="24"/>
          <w:lang w:eastAsia="en-US"/>
        </w:rPr>
        <w:t xml:space="preserve">Происхождение и начальные этапы развития жизни на Земле.  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Современные представления о возникновении жизни на Земле.Предпосылки возникновения жизни на Земле. Изучение истории Земли. Геохронология. Изменение климата на Земле. Дрейф континентов. </w:t>
      </w:r>
    </w:p>
    <w:p w:rsidR="00561EA8" w:rsidRPr="00EA770A" w:rsidRDefault="00561EA8" w:rsidP="00561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</w:p>
    <w:p w:rsidR="00561EA8" w:rsidRPr="00EA770A" w:rsidRDefault="00561EA8" w:rsidP="00561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w w:val="123"/>
          <w:sz w:val="24"/>
          <w:szCs w:val="24"/>
          <w:lang w:eastAsia="en-US"/>
        </w:rPr>
        <w:t xml:space="preserve">Происхождение человека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Положение человека в системе животного мира. Эволюция приматов.Стадии эволюции человека. Первые современные люди. Современный этап эволюции человека. 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       </w:t>
      </w:r>
      <w:r w:rsidRPr="00EA770A"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  <w:t xml:space="preserve">Селекция и биотехнология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Селекция, ее задачи. Методы селекции, их генетические основы. Центры многообразия и происхождения культурных растений. Биотехнология.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color w:val="000000"/>
          <w:spacing w:val="-4"/>
          <w:sz w:val="24"/>
          <w:szCs w:val="24"/>
          <w:lang w:eastAsia="en-US"/>
        </w:rPr>
        <w:t xml:space="preserve">        Биосфера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/>
        </w:rPr>
        <w:t xml:space="preserve"> Биосфера-глобальная система. Учение В.И. Вернадского. Основные биомы. Функции живого вещества и биогеохимические круговороты в биосфере. 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результате изучения биологии   учащиеся должны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знать: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основные положения теории эволюции; В.И. Вернадского о биосфере;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гипотез (сущности происхождения жизни, происхождения человека); 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имена великих ученых и их вклад в формирование современной естественно - научной картины мира;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структуру вида и экосистем;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сущность биологических процессов и явлений: искусственного, движущего и стабилизирующего отбора; географического и экологического видообразования;  влияния элементарных факторов эволюции на генофонд популяции; формирование приспособленности к среде обитания; круговорота веществ и превращения энергии в экосистемах в биосфере; эволюции биосферы; 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современную биологическую терминологию и символику;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уметь: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объяснять: роль биологических теорий, идей, принципов, гипотез и формирования современной естественно - научной картины мира и научного мировоззрения; единство живой и неживой природы, родство живых организмов; взаимосвязи организмов окружающей среды; эволюцию видов, человека, биосферы; единство человеческих рас; причины устойчивости и смены экосистем; необходимость сохранения многообразия видов;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решать биологические задачи разной сложности;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составлять пути переноса веществ и энергии в экосистемах (цепи питания, пищевые сети);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описывать представителей разных видов по морфологическому критерию; экосистемы и </w:t>
      </w: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агроэкосистемы своей местности;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выявлять приспособления организмов к среде обитания; ароморфозы и идиоадаптации у растений и животных; абиотические и биотические компоненты экосистем; взаимосвязи организмов в экосистеме; антропогенные изменения в экосистемах своего региона;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сравнивать биологические объекты (экосистемы и агроэкосистемы); процессы и явления (формы естественного отбора; искусственный и естественный отбор; способы видообразования; макро- и микроэволюцию; пути направления эволюции) и делать выводы на основе сравнения;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анализировать и оценивать различные гипотезы возникновения жизни человека; глобальные антропогенные изменения в биосфере; этические аспекты современных исследований биологической науке;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интернет - ресурсах) и применять ее в собственных исследованиях;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использовать приобретенные знания и умения в практической деятельности и повседневной жизни: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для оценки опасного воздействия на организм человека различных загрязнений среды; для осуществления личных действий по защите окружающей среды. </w:t>
      </w:r>
    </w:p>
    <w:p w:rsidR="00561EA8" w:rsidRPr="00EA770A" w:rsidRDefault="00561EA8" w:rsidP="00561EA8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EA770A">
        <w:rPr>
          <w:rFonts w:ascii="Times New Roman" w:eastAsiaTheme="minorHAnsi" w:hAnsi="Times New Roman" w:cs="Times New Roman"/>
          <w:sz w:val="24"/>
          <w:lang w:eastAsia="en-US"/>
        </w:rPr>
        <w:t>Примерные темы проектных работ</w:t>
      </w:r>
    </w:p>
    <w:p w:rsidR="00561EA8" w:rsidRPr="00EA770A" w:rsidRDefault="00561EA8" w:rsidP="00561EA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Модная одежда и здоровье </w:t>
      </w:r>
    </w:p>
    <w:p w:rsidR="00561EA8" w:rsidRPr="00EA770A" w:rsidRDefault="00561EA8" w:rsidP="00561EA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Научные достижения В.И. Вернадского </w:t>
      </w:r>
    </w:p>
    <w:p w:rsidR="00561EA8" w:rsidRPr="00EA770A" w:rsidRDefault="00561EA8" w:rsidP="00561EA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Гипотезы о происхождении человека </w:t>
      </w:r>
    </w:p>
    <w:p w:rsidR="00561EA8" w:rsidRPr="00EA770A" w:rsidRDefault="00561EA8" w:rsidP="00561EA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Вирусы-беда 21 века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Архейская и Протерозойская эры с точки зрения биолога </w:t>
      </w:r>
    </w:p>
    <w:p w:rsidR="00561EA8" w:rsidRPr="00EA770A" w:rsidRDefault="00561EA8" w:rsidP="00561EA8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EA770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Влияние стрессов на здоровье человека</w:t>
      </w: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A770A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332"/>
        <w:gridCol w:w="913"/>
        <w:gridCol w:w="2491"/>
      </w:tblGrid>
      <w:tr w:rsidR="00561EA8" w:rsidRPr="00EA770A" w:rsidTr="00561EA8">
        <w:trPr>
          <w:trHeight w:val="37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темы,разделов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Лабораторные работы, практические работы</w:t>
            </w:r>
          </w:p>
        </w:tc>
      </w:tr>
      <w:tr w:rsidR="00561EA8" w:rsidRPr="00EA770A" w:rsidTr="00561EA8">
        <w:trPr>
          <w:trHeight w:val="33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>Селекция и биотехнология</w:t>
            </w: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left="5" w:right="34" w:firstLine="422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</w:pPr>
            <w:r w:rsidRPr="00EA770A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Практическая работа «Сравнительная характеристика сортов растений»</w:t>
            </w:r>
          </w:p>
          <w:p w:rsidR="00561EA8" w:rsidRPr="00EA770A" w:rsidRDefault="00561EA8" w:rsidP="008972E4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61EA8" w:rsidRPr="00EA770A" w:rsidTr="00561EA8">
        <w:trPr>
          <w:trHeight w:val="91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 xml:space="preserve">Эволюционное учение </w:t>
            </w: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Развитие представление об эволюции живой природы. Доказательства эволюции органического мира. Дарвинизм. Синтетическая теория эволюции. Микроэволюция. Закономерности макроэволюции. </w:t>
            </w:r>
          </w:p>
          <w:p w:rsidR="00561EA8" w:rsidRPr="00EA770A" w:rsidRDefault="00561EA8" w:rsidP="008972E4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561EA8" w:rsidRDefault="00561EA8" w:rsidP="008972E4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Лабораторная работа «Выявление изменчивости у особей одного вида. Описание особей одного вида по морфологическим критериям. Изучение приспппособление организмов к среде обитания. Выявление идиоадаптации у растений, животных.  </w:t>
            </w:r>
          </w:p>
        </w:tc>
      </w:tr>
      <w:tr w:rsidR="00561EA8" w:rsidRPr="00EA770A" w:rsidTr="00561EA8">
        <w:trPr>
          <w:trHeight w:val="42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Возникновение и развитие жизни на Земле</w:t>
            </w: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История представлений о возникновении жизни на Земле. Предпосылки возникновения жизни на Земле. Современные представления о возникновении жизни на Земле.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61EA8" w:rsidRPr="00EA770A" w:rsidTr="00561EA8">
        <w:trPr>
          <w:trHeight w:val="51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EA8" w:rsidRPr="00EA770A" w:rsidRDefault="00561EA8" w:rsidP="008972E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color w:val="000000"/>
                <w:w w:val="123"/>
                <w:sz w:val="24"/>
                <w:szCs w:val="24"/>
                <w:lang w:eastAsia="en-US"/>
              </w:rPr>
              <w:t xml:space="preserve">Происхождение человека </w:t>
            </w: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  <w:t>Положение человека в системе животного мира.</w:t>
            </w:r>
          </w:p>
          <w:p w:rsidR="00561EA8" w:rsidRPr="00EA770A" w:rsidRDefault="00561EA8" w:rsidP="008972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w w:val="123"/>
                <w:sz w:val="24"/>
                <w:szCs w:val="24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61EA8" w:rsidRPr="00EA770A" w:rsidTr="00561EA8">
        <w:trPr>
          <w:trHeight w:val="41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A770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A8" w:rsidRPr="00EA770A" w:rsidRDefault="00561EA8" w:rsidP="008972E4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61EA8" w:rsidRPr="00EA770A" w:rsidRDefault="00561EA8" w:rsidP="00561EA8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61EA8" w:rsidRPr="00EA770A" w:rsidRDefault="00561EA8" w:rsidP="00561EA8">
      <w:pPr>
        <w:spacing w:after="0" w:line="240" w:lineRule="auto"/>
        <w:jc w:val="both"/>
        <w:rPr>
          <w:rFonts w:eastAsiaTheme="minorHAnsi"/>
          <w:lang w:eastAsia="en-US"/>
        </w:rPr>
      </w:pPr>
    </w:p>
    <w:p w:rsidR="00490B84" w:rsidRDefault="00DA5907"/>
    <w:p w:rsidR="00561EA8" w:rsidRDefault="00561EA8"/>
    <w:p w:rsidR="00561EA8" w:rsidRDefault="00561EA8"/>
    <w:p w:rsidR="00561EA8" w:rsidRDefault="00561EA8"/>
    <w:p w:rsidR="00561EA8" w:rsidRDefault="00561EA8"/>
    <w:p w:rsidR="00561EA8" w:rsidRDefault="00561EA8"/>
    <w:p w:rsidR="00561EA8" w:rsidRDefault="00561EA8"/>
    <w:p w:rsidR="00561EA8" w:rsidRDefault="00561EA8" w:rsidP="00561EA8">
      <w:pP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EA770A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>КАЛЕНДАРНО-ТЕМАТИЧЕСКОЕ ПЛАНИРОВАНИЕ</w:t>
      </w:r>
      <w:r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418"/>
        <w:gridCol w:w="1276"/>
      </w:tblGrid>
      <w:tr w:rsidR="00561EA8" w:rsidRPr="00561EA8" w:rsidTr="008972E4">
        <w:trPr>
          <w:trHeight w:val="805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пп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Количество часов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Дата план</w:t>
            </w: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Дата факт</w:t>
            </w:r>
          </w:p>
        </w:tc>
      </w:tr>
      <w:tr w:rsidR="00561EA8" w:rsidRPr="00561EA8" w:rsidTr="008972E4">
        <w:trPr>
          <w:trHeight w:val="405"/>
        </w:trPr>
        <w:tc>
          <w:tcPr>
            <w:tcW w:w="6912" w:type="dxa"/>
            <w:gridSpan w:val="3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Эволюционное учение, количество часов – (34)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61EA8" w:rsidRPr="00561EA8" w:rsidTr="008972E4">
        <w:trPr>
          <w:trHeight w:val="829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Селекция. Методы селекции.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Центры происхождения и многообразия культурных растений.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Сравнительная характеристика сортов растений.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Методы селекции животных.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5-6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Селекция микроорганизмов. Биотехнология. </w:t>
            </w:r>
          </w:p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Зачет «Селекция».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Эволюционное учение.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Учение Ч. Дарвина об искусственном отборе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Учение Ч. Дарвина о естественном отборе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Практическая работа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 «Сравнение искусственного и естественного отбора»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Самостоятельная работа «Развитие представлений об эволюции живой природы»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Эволюционная роль мутаций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Генетические процессы в популяциях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 естественного отбора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 естественного отбора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Практическая работа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 «Сравнение форм естественного отбора»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Семинар «Движущие силы эволюции»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18-19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Адаптация организмов к среде обитания и их относительный характер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rPr>
          <w:trHeight w:val="623"/>
        </w:trPr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Лабораторная работа 1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«Изучение приспособленности к среде обитания»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Вид, его критерии.</w:t>
            </w:r>
          </w:p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Лабораторная работа 2 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«Морфологическое описание вида»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23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Географическое видообразование.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Биологическое видообразование.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Основные положения синтетической теории эволюции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Генетический состав, изменение генофонда популяций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Самостоятельная работа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«Микроэволюция»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28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Главные направления макроэволюции – ароморфозы. Идиоадаптации, общая дегенерация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29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Практическая работа</w:t>
            </w: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 «Сравнительная характеристика путей и направлений макроэволюции»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Гипотезы о происхождении жизни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31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в архейской и протерозойской эрах. Развитие жизни в раннем палеозое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32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жизни в мезозойской эре, в кайнозойской эре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33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Положение человека в системе животного мира. Эволюция приматов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61EA8" w:rsidRPr="00561EA8" w:rsidTr="008972E4">
        <w:tc>
          <w:tcPr>
            <w:tcW w:w="675" w:type="dxa"/>
          </w:tcPr>
          <w:p w:rsidR="00561EA8" w:rsidRPr="00561EA8" w:rsidRDefault="00561EA8" w:rsidP="00561EA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34</w:t>
            </w:r>
          </w:p>
        </w:tc>
        <w:tc>
          <w:tcPr>
            <w:tcW w:w="4962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Контрольная работа по теме «Эволюционное учение»</w:t>
            </w:r>
          </w:p>
        </w:tc>
        <w:tc>
          <w:tcPr>
            <w:tcW w:w="1275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1EA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61EA8" w:rsidRPr="00561EA8" w:rsidRDefault="00561EA8" w:rsidP="00561EA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P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/>
    <w:p w:rsidR="00561EA8" w:rsidRDefault="00561EA8" w:rsidP="00561EA8">
      <w:bookmarkStart w:id="2" w:name="_GoBack"/>
      <w:bookmarkEnd w:id="2"/>
    </w:p>
    <w:p w:rsidR="00561EA8" w:rsidRPr="00561EA8" w:rsidRDefault="00561EA8" w:rsidP="00561EA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561E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ПЛАНИРУЕМЫЕ РЕЗУЛЬТАТЫ ОСВОЕНИЯ УЧЕБНОГО ПРЕДМЕТА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Личностными 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выстраивать собственное целостное мировоззрение.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с точки зрения безопасного образа жизни и сохранения здоровья.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экологический риск взаимоотношений человека и природы.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61EA8" w:rsidRPr="00561EA8" w:rsidRDefault="00561EA8" w:rsidP="00561EA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Метапредметными результатами изучения курса «Биология» является формирование 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61EA8" w:rsidRPr="00561EA8" w:rsidRDefault="00561EA8" w:rsidP="00561E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561EA8" w:rsidRPr="00561EA8" w:rsidRDefault="00561EA8" w:rsidP="00561E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561EA8" w:rsidRPr="00561EA8" w:rsidRDefault="00561EA8" w:rsidP="00561E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561EA8" w:rsidRPr="00561EA8" w:rsidRDefault="00561EA8" w:rsidP="00561E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561EA8" w:rsidRPr="00561EA8" w:rsidRDefault="00561EA8" w:rsidP="00561E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Вычитывать все уровни текстовой информации.</w:t>
      </w:r>
    </w:p>
    <w:p w:rsidR="00561EA8" w:rsidRPr="00561EA8" w:rsidRDefault="00561EA8" w:rsidP="00561E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61EA8" w:rsidRPr="00561EA8" w:rsidRDefault="00561EA8" w:rsidP="00561E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 w:rsidRPr="00561EA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Предметными результатами изучения предмета «Биология» являются следующие умения: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- осознание роли жизни: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в природе различных групп организмов;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роль живых организмов в круговороте веществ экосистемы.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 – рассмотрение биологических процессов в развитии: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lastRenderedPageBreak/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приспособлений организмов к среде обитания и объяснять их значение;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черты, свидетельствующие об усложнении живых организмов по сравнению с предками, и давать им объяснение;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приспособления на разных стадиях жизненных циклов.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3. – использование биологических знаний в быту: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живых организмов в жизни и хозяйстве человека.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6. – оценивать поведение человека с точки зрения здорового образа жизни: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биологии при соблюдении правил повседневной гигиены;</w:t>
      </w:r>
    </w:p>
    <w:p w:rsidR="00561EA8" w:rsidRPr="00561EA8" w:rsidRDefault="00561EA8" w:rsidP="00561E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61EA8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съедобные и ядовитые грибы и растения своей местности.</w:t>
      </w:r>
    </w:p>
    <w:p w:rsidR="00561EA8" w:rsidRPr="00561EA8" w:rsidRDefault="00561EA8" w:rsidP="00561EA8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61EA8" w:rsidRPr="00561EA8" w:rsidRDefault="00561EA8" w:rsidP="00561EA8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освоения учебного</w:t>
      </w:r>
      <w:r w:rsidRPr="00561E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предмета 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система их оценки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и среднего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щимися всех трёх групп результатов образования: личностных, метапредмет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и предметных.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561EA8" w:rsidRPr="00561EA8" w:rsidRDefault="00561EA8" w:rsidP="00561EA8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предметных результатов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предметных результатов 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представляет собой оценку достижения обучаю</w:t>
      </w:r>
      <w:r w:rsidRPr="00561EA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 xml:space="preserve">щимся 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планируемых результатов по учебному предмету:</w:t>
      </w:r>
    </w:p>
    <w:p w:rsidR="00561EA8" w:rsidRPr="00561EA8" w:rsidRDefault="00561EA8" w:rsidP="00561EA8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 </w:t>
      </w:r>
    </w:p>
    <w:p w:rsidR="00561EA8" w:rsidRPr="00561EA8" w:rsidRDefault="00561EA8" w:rsidP="00561EA8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1EA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Базовый уровень достижений — уровень, который демонстрирует освоение учеб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ных действий с опорной системой знаний в рамках диапазона (круга) выделенных задач. 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Овладение базовым уровнем является достаточным для продолжения обучения на следую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зоре, широте (или избирательности) интересов. Целесообразно выделить следующие два уровня, превышающие базовый: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 уровень достижения планируемых результатов, оценка «хорошо» (от</w:t>
      </w: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«4»);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 уровень достижения планируемых результатов, оценка «отлично» (от</w:t>
      </w: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«5»).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Повышенный и высокий уровни достижения отличаются по полноте освоения планируе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мых результатов, уровню овладения учебными действиями и сформированно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стью интересов к данной предметной области.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описания подготовки обучающихся, уровень достижений которых ниже базового, целесо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образно выделить также два уровня: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 уровень достижений, оценка «неудовлетворительно» (отметка «2»);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="Calibri" w:hAnsi="Times New Roman" w:cs="Times New Roman"/>
          <w:sz w:val="24"/>
          <w:szCs w:val="24"/>
          <w:lang w:eastAsia="en-US"/>
        </w:rPr>
        <w:t>низкий уровень достижений, оценка «плохо» (отметка «1»).</w:t>
      </w:r>
    </w:p>
    <w:p w:rsidR="00561EA8" w:rsidRPr="00561EA8" w:rsidRDefault="00561EA8" w:rsidP="00561EA8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Недостижение базового уровня (пониженный и низкий уровни достижений) фиксиру</w:t>
      </w: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ется в зависимости от объёма и уровня освоенного и неосвоенного содержания предмета. </w:t>
      </w:r>
    </w:p>
    <w:p w:rsidR="00561EA8" w:rsidRPr="00561EA8" w:rsidRDefault="00561EA8" w:rsidP="00561EA8">
      <w:pPr>
        <w:tabs>
          <w:tab w:val="num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  </w:t>
      </w:r>
      <w:r w:rsidRPr="00561EA8">
        <w:rPr>
          <w:rFonts w:ascii="Times New Roman" w:eastAsiaTheme="minorHAnsi" w:hAnsi="Times New Roman"/>
          <w:sz w:val="24"/>
          <w:szCs w:val="24"/>
          <w:lang w:eastAsia="en-US"/>
        </w:rPr>
        <w:t xml:space="preserve">Критерии и нормы оценки знаний, умений и навыков обучающихся по учебному предмету. </w:t>
      </w:r>
    </w:p>
    <w:p w:rsidR="00561EA8" w:rsidRPr="00561EA8" w:rsidRDefault="00561EA8" w:rsidP="00561E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1. Оценка письменных контрольных работ обучающихся по предмету…</w:t>
      </w:r>
    </w:p>
    <w:p w:rsidR="00561EA8" w:rsidRPr="00561EA8" w:rsidRDefault="00561EA8" w:rsidP="00561EA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2. Оценка  устных ответов обучающихся по предмету…</w:t>
      </w:r>
    </w:p>
    <w:p w:rsidR="00561EA8" w:rsidRPr="00561EA8" w:rsidRDefault="00561EA8" w:rsidP="00561EA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Оценка работы с картой…</w:t>
      </w:r>
    </w:p>
    <w:p w:rsidR="00561EA8" w:rsidRPr="00561EA8" w:rsidRDefault="00561EA8" w:rsidP="00561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4. Система оценивания тестовых заданий:</w:t>
      </w:r>
    </w:p>
    <w:p w:rsidR="00561EA8" w:rsidRPr="00561EA8" w:rsidRDefault="00561EA8" w:rsidP="00561EA8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Отметка «2» – от 0 до 50 %</w:t>
      </w:r>
    </w:p>
    <w:p w:rsidR="00561EA8" w:rsidRPr="00561EA8" w:rsidRDefault="00561EA8" w:rsidP="00561EA8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Отметка «3» – от 51 % до 70 %</w:t>
      </w:r>
    </w:p>
    <w:p w:rsidR="00561EA8" w:rsidRPr="00561EA8" w:rsidRDefault="00561EA8" w:rsidP="00561EA8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Отметка «4» – от 71 % до 85 %</w:t>
      </w:r>
    </w:p>
    <w:p w:rsidR="00561EA8" w:rsidRPr="00561EA8" w:rsidRDefault="00561EA8" w:rsidP="00561EA8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Отметка «5» – от 86 % до 100 %</w:t>
      </w:r>
    </w:p>
    <w:p w:rsidR="00561EA8" w:rsidRPr="00561EA8" w:rsidRDefault="00561EA8" w:rsidP="0056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 xml:space="preserve">5. и т.п. </w:t>
      </w:r>
    </w:p>
    <w:p w:rsidR="00561EA8" w:rsidRPr="00561EA8" w:rsidRDefault="00561EA8" w:rsidP="0056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Система оценки выполнения лабораторных работ по биологии: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 </w:t>
      </w:r>
      <w:r w:rsidRPr="00561EA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«5»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Правильно выполнил анализ погрешностей (9-11 классы).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Эксперимент осуществляет по плану с учетом техники безопасности и правил работы с материалами и оборудованием.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</w:t>
      </w:r>
      <w:r w:rsidRPr="00561EA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«4»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 выполнил требования к оценке «5», но: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Опыт проводил в условиях, не обеспечивающих достаточной точности измерений.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Было допущено два – три недочета или более одной грубой ошибки и одного недочета.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  Эксперимент проведен не полностью или в описании наблюдений из опыта ученик допустил неточности, выводы сделал неполные.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561EA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«3»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не выполнен совсем или выполнен неверно анализ погрешностей (9-11 классы);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561EA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«2»</w:t>
      </w: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Опыты, измерения, вычисления, наблюдения производились неправильно.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В ходе работы и в отчете обнаружились в совокупности все недостатки, отмеченные в требованиях к оценке «3».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561EA8" w:rsidRPr="00561EA8" w:rsidRDefault="00561EA8" w:rsidP="00561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EA8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Полностью не сумел начать и оформить опыт; не выполняет работу; показывает отсутствие экспериментальных умений; не соблюдал или грубо нарушал требования безопасности труда.</w:t>
      </w:r>
    </w:p>
    <w:p w:rsidR="00561EA8" w:rsidRPr="00561EA8" w:rsidRDefault="00561EA8" w:rsidP="0056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61EA8" w:rsidRPr="00561EA8" w:rsidRDefault="00561EA8" w:rsidP="00561EA8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метапредметных результатов</w:t>
      </w:r>
    </w:p>
    <w:p w:rsidR="00561EA8" w:rsidRPr="00561EA8" w:rsidRDefault="00561EA8" w:rsidP="00561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561EA8" w:rsidRPr="00561EA8" w:rsidRDefault="00561EA8" w:rsidP="00561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способность к сотрудничеству и коммуникации;</w:t>
      </w:r>
    </w:p>
    <w:p w:rsidR="00561EA8" w:rsidRPr="00561EA8" w:rsidRDefault="00561EA8" w:rsidP="00561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561EA8" w:rsidRPr="00561EA8" w:rsidRDefault="00561EA8" w:rsidP="00561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561EA8" w:rsidRPr="00561EA8" w:rsidRDefault="00561EA8" w:rsidP="00561EA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способность к самоорганизации, саморегуляции и рефлексии.</w:t>
      </w:r>
    </w:p>
    <w:p w:rsidR="00561EA8" w:rsidRPr="00561EA8" w:rsidRDefault="00561EA8" w:rsidP="00561EA8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61EA8">
        <w:rPr>
          <w:rFonts w:ascii="Times New Roman" w:hAnsi="Times New Roman" w:cs="Times New Roman"/>
          <w:kern w:val="2"/>
          <w:sz w:val="24"/>
          <w:szCs w:val="24"/>
        </w:rPr>
        <w:t>Защита итогового проекта.</w:t>
      </w: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rPr>
          <w:rFonts w:eastAsiaTheme="minorHAnsi"/>
          <w:lang w:eastAsia="en-US"/>
        </w:rPr>
      </w:pPr>
    </w:p>
    <w:p w:rsidR="00561EA8" w:rsidRPr="00561EA8" w:rsidRDefault="00561EA8" w:rsidP="00561EA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EA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Лист корректировки рабочей программы</w:t>
      </w: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2551"/>
        <w:gridCol w:w="1276"/>
      </w:tblGrid>
      <w:tr w:rsidR="00561EA8" w:rsidRPr="00561EA8" w:rsidTr="008972E4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1EA8" w:rsidRPr="00561EA8" w:rsidRDefault="00561EA8" w:rsidP="00561EA8">
            <w:pPr>
              <w:suppressLineNumbers/>
              <w:tabs>
                <w:tab w:val="center" w:pos="2142"/>
                <w:tab w:val="right" w:pos="4284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Название раздела, темы</w:t>
            </w: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61EA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61EA8" w:rsidRPr="00561EA8" w:rsidTr="008972E4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1EA8" w:rsidRPr="00561EA8" w:rsidRDefault="00561EA8" w:rsidP="00561E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61EA8" w:rsidRPr="00561EA8" w:rsidRDefault="00561EA8" w:rsidP="00561EA8"/>
    <w:sectPr w:rsidR="00561EA8" w:rsidRPr="00561EA8" w:rsidSect="00561EA8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07" w:rsidRDefault="00DA5907" w:rsidP="00561EA8">
      <w:pPr>
        <w:spacing w:after="0" w:line="240" w:lineRule="auto"/>
      </w:pPr>
      <w:r>
        <w:separator/>
      </w:r>
    </w:p>
  </w:endnote>
  <w:endnote w:type="continuationSeparator" w:id="0">
    <w:p w:rsidR="00DA5907" w:rsidRDefault="00DA5907" w:rsidP="0056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9466126"/>
      <w:docPartObj>
        <w:docPartGallery w:val="Page Numbers (Bottom of Page)"/>
        <w:docPartUnique/>
      </w:docPartObj>
    </w:sdtPr>
    <w:sdtContent>
      <w:p w:rsidR="00561EA8" w:rsidRDefault="00561E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C8">
          <w:rPr>
            <w:noProof/>
          </w:rPr>
          <w:t>10</w:t>
        </w:r>
        <w:r>
          <w:fldChar w:fldCharType="end"/>
        </w:r>
      </w:p>
    </w:sdtContent>
  </w:sdt>
  <w:p w:rsidR="00561EA8" w:rsidRDefault="00561E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07" w:rsidRDefault="00DA5907" w:rsidP="00561EA8">
      <w:pPr>
        <w:spacing w:after="0" w:line="240" w:lineRule="auto"/>
      </w:pPr>
      <w:r>
        <w:separator/>
      </w:r>
    </w:p>
  </w:footnote>
  <w:footnote w:type="continuationSeparator" w:id="0">
    <w:p w:rsidR="00DA5907" w:rsidRDefault="00DA5907" w:rsidP="00561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D20"/>
    <w:multiLevelType w:val="hybridMultilevel"/>
    <w:tmpl w:val="D65C153A"/>
    <w:lvl w:ilvl="0" w:tplc="00000003">
      <w:start w:val="1"/>
      <w:numFmt w:val="bullet"/>
      <w:lvlText w:val=""/>
      <w:lvlJc w:val="left"/>
      <w:pPr>
        <w:ind w:left="117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BF856D0"/>
    <w:multiLevelType w:val="hybridMultilevel"/>
    <w:tmpl w:val="759E95B0"/>
    <w:lvl w:ilvl="0" w:tplc="D57A21A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1F8F5AB3"/>
    <w:multiLevelType w:val="multilevel"/>
    <w:tmpl w:val="AD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0048"/>
    <w:multiLevelType w:val="multilevel"/>
    <w:tmpl w:val="EB4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F5746"/>
    <w:multiLevelType w:val="multilevel"/>
    <w:tmpl w:val="B59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2689A"/>
    <w:multiLevelType w:val="multilevel"/>
    <w:tmpl w:val="48A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865A0"/>
    <w:multiLevelType w:val="hybridMultilevel"/>
    <w:tmpl w:val="100261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8"/>
    <w:rsid w:val="003059C8"/>
    <w:rsid w:val="00561EA8"/>
    <w:rsid w:val="00B87090"/>
    <w:rsid w:val="00DA5907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B0CB"/>
  <w15:chartTrackingRefBased/>
  <w15:docId w15:val="{380A0181-1405-42A1-9328-866F436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1EA8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561EA8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pboth">
    <w:name w:val="pboth"/>
    <w:basedOn w:val="a"/>
    <w:rsid w:val="0056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EA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61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EA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59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2023-09-17T15:25:00Z</cp:lastPrinted>
  <dcterms:created xsi:type="dcterms:W3CDTF">2023-09-17T15:13:00Z</dcterms:created>
  <dcterms:modified xsi:type="dcterms:W3CDTF">2023-09-17T15:26:00Z</dcterms:modified>
</cp:coreProperties>
</file>